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B028" w14:textId="2580D780" w:rsidR="00F364DF" w:rsidRDefault="00F364DF"/>
    <w:p w14:paraId="5AD8121B" w14:textId="06DF4C6D" w:rsidR="00C05EEF" w:rsidRPr="00C05EEF" w:rsidRDefault="00C05EEF" w:rsidP="00C05EEF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C05EEF">
        <w:rPr>
          <w:b/>
          <w:bCs/>
          <w:sz w:val="28"/>
          <w:szCs w:val="28"/>
        </w:rPr>
        <w:t>FICHA TÉCNICA</w:t>
      </w:r>
    </w:p>
    <w:p w14:paraId="6BEB146C" w14:textId="347B59F6" w:rsidR="00C05EEF" w:rsidRDefault="00C05EEF"/>
    <w:p w14:paraId="7B370D67" w14:textId="629969EA" w:rsidR="00C05EEF" w:rsidRPr="00595928" w:rsidRDefault="00FE0ECC" w:rsidP="00C05EEF">
      <w:pPr>
        <w:spacing w:line="360" w:lineRule="auto"/>
        <w:rPr>
          <w:b/>
          <w:bCs/>
        </w:rPr>
      </w:pPr>
      <w:r w:rsidRPr="00595928">
        <w:rPr>
          <w:b/>
          <w:bCs/>
        </w:rPr>
        <w:t xml:space="preserve">Caso </w:t>
      </w:r>
      <w:r w:rsidR="00C05EEF" w:rsidRPr="00595928">
        <w:rPr>
          <w:b/>
          <w:bCs/>
        </w:rPr>
        <w:t xml:space="preserve">Nº </w:t>
      </w:r>
      <w:r w:rsidRPr="00595928">
        <w:rPr>
          <w:b/>
          <w:bCs/>
        </w:rPr>
        <w:t>12.675</w:t>
      </w:r>
    </w:p>
    <w:p w14:paraId="7F6F3F57" w14:textId="626181DA" w:rsidR="00C05EEF" w:rsidRPr="007A21ED" w:rsidRDefault="00C05EEF" w:rsidP="00C05EEF">
      <w:pPr>
        <w:spacing w:line="360" w:lineRule="auto"/>
        <w:rPr>
          <w:b/>
          <w:bCs/>
        </w:rPr>
      </w:pPr>
      <w:r w:rsidRPr="00A95E4B">
        <w:rPr>
          <w:b/>
          <w:bCs/>
        </w:rPr>
        <w:t>Ano</w:t>
      </w:r>
      <w:r w:rsidR="00FE0ECC" w:rsidRPr="00A95E4B">
        <w:rPr>
          <w:b/>
          <w:bCs/>
        </w:rPr>
        <w:t>:</w:t>
      </w:r>
      <w:r w:rsidR="00FE0ECC">
        <w:t xml:space="preserve"> </w:t>
      </w:r>
      <w:r w:rsidR="00FE0ECC" w:rsidRPr="007A21ED">
        <w:rPr>
          <w:b/>
          <w:bCs/>
        </w:rPr>
        <w:t>2022</w:t>
      </w:r>
    </w:p>
    <w:p w14:paraId="05578E7C" w14:textId="474EE284" w:rsidR="00C05EEF" w:rsidRPr="00C05EEF" w:rsidRDefault="00C05EEF" w:rsidP="00C05EEF">
      <w:pPr>
        <w:spacing w:line="360" w:lineRule="auto"/>
      </w:pPr>
      <w:r w:rsidRPr="00A95E4B">
        <w:rPr>
          <w:b/>
          <w:bCs/>
        </w:rPr>
        <w:t>País Envolvido</w:t>
      </w:r>
      <w:r w:rsidR="00FE0ECC">
        <w:t>: Brasil</w:t>
      </w:r>
    </w:p>
    <w:p w14:paraId="6EDE27A5" w14:textId="688CC4BD" w:rsidR="00C05EEF" w:rsidRPr="00C05EEF" w:rsidRDefault="00C05EEF" w:rsidP="00C05EEF">
      <w:pPr>
        <w:spacing w:line="360" w:lineRule="auto"/>
      </w:pPr>
      <w:r w:rsidRPr="00595928">
        <w:rPr>
          <w:b/>
          <w:bCs/>
        </w:rPr>
        <w:t>Direitos Fundamentais Abordados</w:t>
      </w:r>
      <w:r w:rsidR="00FE0ECC">
        <w:t xml:space="preserve">: </w:t>
      </w:r>
      <w:r w:rsidR="00FE0ECC" w:rsidRPr="00FE0ECC">
        <w:t>Direito à vida. Direito à integridade pessoal. Direito às garantias judiciais.</w:t>
      </w:r>
    </w:p>
    <w:p w14:paraId="3305FC87" w14:textId="26E0BB46" w:rsidR="00C05EEF" w:rsidRPr="00C05EEF" w:rsidRDefault="00A95E4B" w:rsidP="00C05EEF">
      <w:pPr>
        <w:spacing w:line="360" w:lineRule="auto"/>
      </w:pPr>
      <w:r>
        <w:t>Resultado da demanda: PROCEDENTE</w:t>
      </w:r>
    </w:p>
    <w:p w14:paraId="529E5CCF" w14:textId="789A5698" w:rsidR="00C05EEF" w:rsidRDefault="00C05EEF" w:rsidP="00595928">
      <w:pPr>
        <w:spacing w:line="360" w:lineRule="auto"/>
        <w:jc w:val="both"/>
      </w:pPr>
      <w:r w:rsidRPr="00595928">
        <w:rPr>
          <w:b/>
          <w:bCs/>
        </w:rPr>
        <w:t>Ementa:</w:t>
      </w:r>
      <w:r w:rsidRPr="00C05EEF">
        <w:t xml:space="preserve">  Direitos Humanos – Direito </w:t>
      </w:r>
      <w:r w:rsidR="00FE0ECC">
        <w:t xml:space="preserve">à vida. Direito à Justiça. Direito à integridade pessoal. </w:t>
      </w:r>
      <w:r w:rsidRPr="00C05EEF">
        <w:t xml:space="preserve"> </w:t>
      </w:r>
      <w:r w:rsidR="008C12EA">
        <w:t>Omissão do Estado.  Falta de diligência. Medidas reparatórias. Indenizações compensatórias.</w:t>
      </w:r>
    </w:p>
    <w:p w14:paraId="788AE661" w14:textId="77777777" w:rsidR="008C12EA" w:rsidRDefault="008C12EA" w:rsidP="00C05EEF">
      <w:pPr>
        <w:spacing w:line="360" w:lineRule="auto"/>
      </w:pPr>
    </w:p>
    <w:p w14:paraId="7C62E9E7" w14:textId="14A8BC09" w:rsidR="008C12EA" w:rsidRPr="007A21ED" w:rsidRDefault="008C12EA" w:rsidP="0076578D">
      <w:pPr>
        <w:spacing w:line="360" w:lineRule="auto"/>
        <w:ind w:firstLine="708"/>
        <w:jc w:val="both"/>
        <w:rPr>
          <w:color w:val="FF0000"/>
        </w:rPr>
      </w:pPr>
      <w:r>
        <w:t xml:space="preserve">O caso Sales Pimenta </w:t>
      </w:r>
      <w:r w:rsidRPr="00B163CE">
        <w:rPr>
          <w:i/>
          <w:iCs/>
        </w:rPr>
        <w:t>v</w:t>
      </w:r>
      <w:r w:rsidR="00B163CE" w:rsidRPr="00B163CE">
        <w:rPr>
          <w:i/>
          <w:iCs/>
        </w:rPr>
        <w:t>ersu</w:t>
      </w:r>
      <w:r w:rsidRPr="00B163CE">
        <w:rPr>
          <w:i/>
          <w:iCs/>
        </w:rPr>
        <w:t>s</w:t>
      </w:r>
      <w:r>
        <w:t xml:space="preserve"> Brasil trata da responsabilidade internacional do Brasil pela situação de impunidade relacionad</w:t>
      </w:r>
      <w:r w:rsidR="00595928">
        <w:t>a</w:t>
      </w:r>
      <w:r>
        <w:t xml:space="preserve"> à morte de Gabriel Sales Pimenta, advogado do Sindicato dos Trabalhadores Rurais de Marabá</w:t>
      </w:r>
      <w:r w:rsidR="007A21ED">
        <w:t xml:space="preserve"> . </w:t>
      </w:r>
      <w:r>
        <w:t>Devido ao seu trabalho de advogado</w:t>
      </w:r>
      <w:r w:rsidR="007A21ED">
        <w:t>, defensor</w:t>
      </w:r>
      <w:r>
        <w:t xml:space="preserve"> de trabalhadores rurais posseiros, a vítima recebeu várias ameaças de morte, tendo solicitado proteção estatal em várias ocasiões junto à Secretaria de Segurança Pública em Belém, no Estado do Pará</w:t>
      </w:r>
      <w:r w:rsidR="00DC608B">
        <w:t>, sem ser atendido.</w:t>
      </w:r>
      <w:r w:rsidR="007A21ED">
        <w:t xml:space="preserve"> </w:t>
      </w:r>
    </w:p>
    <w:p w14:paraId="79B440F2" w14:textId="080CD189" w:rsidR="008C12EA" w:rsidRPr="007A21ED" w:rsidRDefault="0076578D" w:rsidP="008C12EA">
      <w:pPr>
        <w:spacing w:line="360" w:lineRule="auto"/>
        <w:jc w:val="both"/>
        <w:rPr>
          <w:b/>
          <w:bCs/>
          <w:color w:val="FF0000"/>
        </w:rPr>
      </w:pPr>
      <w:r>
        <w:t xml:space="preserve"> </w:t>
      </w:r>
      <w:r>
        <w:tab/>
      </w:r>
      <w:r w:rsidR="008C12EA">
        <w:t xml:space="preserve">Seu assassinato ocorreu em </w:t>
      </w:r>
      <w:r w:rsidR="008C12EA" w:rsidRPr="007A21ED">
        <w:rPr>
          <w:b/>
          <w:bCs/>
        </w:rPr>
        <w:t>18 de julho de 1982</w:t>
      </w:r>
      <w:r w:rsidR="008C12EA">
        <w:t>. Para a</w:t>
      </w:r>
      <w:r w:rsidR="005222A5">
        <w:t xml:space="preserve"> Corte</w:t>
      </w:r>
      <w:r w:rsidR="008C12EA">
        <w:t xml:space="preserve"> Interamericana de Direitos Humanos (CIDH), a morte </w:t>
      </w:r>
      <w:r>
        <w:t>aconteceu</w:t>
      </w:r>
      <w:r w:rsidR="008C12EA">
        <w:t xml:space="preserve"> em um contexto de violência relacionada </w:t>
      </w:r>
      <w:r w:rsidR="008C12EA" w:rsidRPr="00595928">
        <w:rPr>
          <w:b/>
          <w:bCs/>
        </w:rPr>
        <w:t>às demandas por terra e reforma agrária no Brasil.</w:t>
      </w:r>
      <w:r w:rsidR="008C12EA">
        <w:t xml:space="preserve"> A Co</w:t>
      </w:r>
      <w:r w:rsidR="005222A5">
        <w:t>rte</w:t>
      </w:r>
      <w:r w:rsidR="008C12EA">
        <w:t xml:space="preserve"> concluiu que a investigação dos fatos e</w:t>
      </w:r>
      <w:r w:rsidR="00595928">
        <w:t xml:space="preserve"> a</w:t>
      </w:r>
      <w:r w:rsidR="008C12EA">
        <w:t xml:space="preserve"> decisão judicial </w:t>
      </w:r>
      <w:r w:rsidR="00595928">
        <w:t>proferida</w:t>
      </w:r>
      <w:r w:rsidR="008C12EA">
        <w:t xml:space="preserve"> em </w:t>
      </w:r>
      <w:r w:rsidR="008C12EA" w:rsidRPr="007A21ED">
        <w:rPr>
          <w:b/>
          <w:bCs/>
        </w:rPr>
        <w:t>2006</w:t>
      </w:r>
      <w:r w:rsidR="00595928">
        <w:t>,</w:t>
      </w:r>
      <w:r w:rsidR="008C12EA">
        <w:t xml:space="preserve"> que declarou a </w:t>
      </w:r>
      <w:r w:rsidR="005222A5">
        <w:t>prescrição, foram</w:t>
      </w:r>
      <w:r w:rsidR="00595928">
        <w:t xml:space="preserve"> </w:t>
      </w:r>
      <w:r w:rsidR="008C12EA">
        <w:t>marcada</w:t>
      </w:r>
      <w:r w:rsidR="00B163CE">
        <w:t>s</w:t>
      </w:r>
      <w:r w:rsidR="008C12EA">
        <w:t xml:space="preserve"> </w:t>
      </w:r>
      <w:r w:rsidR="00595928">
        <w:t>pela conduta omissiva</w:t>
      </w:r>
      <w:r w:rsidR="008C12EA">
        <w:t xml:space="preserve"> do Estado</w:t>
      </w:r>
      <w:r w:rsidR="005222A5">
        <w:t>.</w:t>
      </w:r>
    </w:p>
    <w:p w14:paraId="132C71D6" w14:textId="4C628E52" w:rsidR="008C12EA" w:rsidRDefault="0076578D" w:rsidP="008C12EA">
      <w:pPr>
        <w:spacing w:line="360" w:lineRule="auto"/>
        <w:jc w:val="both"/>
      </w:pPr>
      <w:r>
        <w:t xml:space="preserve"> </w:t>
      </w:r>
      <w:r>
        <w:tab/>
      </w:r>
      <w:r w:rsidR="00595928">
        <w:t>Conclui a Corte que a</w:t>
      </w:r>
      <w:r w:rsidR="008C12EA">
        <w:t>s autoridades brasileiras não atuaram com a devida diligência</w:t>
      </w:r>
      <w:r w:rsidR="007A21ED">
        <w:t>,</w:t>
      </w:r>
      <w:r w:rsidR="008C12EA">
        <w:t xml:space="preserve"> dentro de um prazo razoável. De acordo com a sentença emitida pel</w:t>
      </w:r>
      <w:r w:rsidR="00595928">
        <w:t xml:space="preserve">a Corte </w:t>
      </w:r>
      <w:r w:rsidR="008C12EA">
        <w:t xml:space="preserve"> o Estado</w:t>
      </w:r>
      <w:r w:rsidR="00595928">
        <w:t xml:space="preserve"> Brasileiro</w:t>
      </w:r>
      <w:r w:rsidR="008C12EA">
        <w:t xml:space="preserve"> foi responsável pela violação dos direitos à integridade pessoal, às garantias judiciais e à proteção judicial de Gabriel Sales Pimenta e seus familiares.</w:t>
      </w:r>
    </w:p>
    <w:p w14:paraId="2B17E434" w14:textId="2BD8AA9A" w:rsidR="008C12EA" w:rsidRDefault="008C12EA" w:rsidP="008C12EA">
      <w:pPr>
        <w:spacing w:line="360" w:lineRule="auto"/>
        <w:jc w:val="both"/>
      </w:pPr>
      <w:r>
        <w:lastRenderedPageBreak/>
        <w:tab/>
        <w:t>Entre a apresentação da petição inicial perante a Corte e a decisão final do caso,</w:t>
      </w:r>
      <w:r w:rsidR="00B163CE">
        <w:t xml:space="preserve"> no ano de 2022,</w:t>
      </w:r>
      <w:r>
        <w:t xml:space="preserve"> </w:t>
      </w:r>
      <w:r w:rsidR="00595928">
        <w:t>passaram-se</w:t>
      </w:r>
      <w:r>
        <w:t xml:space="preserve"> mais </w:t>
      </w:r>
      <w:r w:rsidR="00595928">
        <w:t xml:space="preserve">de </w:t>
      </w:r>
      <w:r>
        <w:t xml:space="preserve">quinze anos. Em razão </w:t>
      </w:r>
      <w:r w:rsidR="007A21ED">
        <w:t xml:space="preserve">dessa excessiva delonga </w:t>
      </w:r>
      <w:r>
        <w:t xml:space="preserve"> foi caracterizada a falta de diligência do Brasil em processar </w:t>
      </w:r>
      <w:r w:rsidR="00595928">
        <w:t>e</w:t>
      </w:r>
      <w:r>
        <w:t xml:space="preserve"> sancionar os responsáveis pelo crime. A omissão do Estado brasileiro em adotar as medidas adequadas para a resolução do caso pode ser vista em razão da:</w:t>
      </w:r>
    </w:p>
    <w:p w14:paraId="014FF58C" w14:textId="77777777" w:rsidR="0076578D" w:rsidRDefault="0076578D" w:rsidP="008C12EA">
      <w:pPr>
        <w:spacing w:line="360" w:lineRule="auto"/>
        <w:jc w:val="both"/>
      </w:pPr>
    </w:p>
    <w:p w14:paraId="4E9A60FA" w14:textId="77777777" w:rsidR="008C12EA" w:rsidRDefault="008C12EA" w:rsidP="008C12EA">
      <w:pPr>
        <w:spacing w:line="360" w:lineRule="auto"/>
        <w:jc w:val="both"/>
      </w:pPr>
      <w:r>
        <w:t>I)</w:t>
      </w:r>
      <w:r>
        <w:tab/>
        <w:t>falta de identificação e de análise do contexto no qual o defensor realizava seu trabalho de defesa de direitos humanos de trabalhadores rurais;</w:t>
      </w:r>
    </w:p>
    <w:p w14:paraId="1387389B" w14:textId="5D388549" w:rsidR="008C12EA" w:rsidRDefault="008C12EA" w:rsidP="008C12EA">
      <w:pPr>
        <w:spacing w:line="360" w:lineRule="auto"/>
        <w:jc w:val="both"/>
      </w:pPr>
      <w:r>
        <w:t>II)</w:t>
      </w:r>
      <w:r>
        <w:tab/>
        <w:t>ausência do emprego de medidas protetivas a testemunhas, sobretudo pel</w:t>
      </w:r>
      <w:r w:rsidR="00A95E4B">
        <w:t>a</w:t>
      </w:r>
      <w:r>
        <w:t xml:space="preserve"> </w:t>
      </w:r>
      <w:r w:rsidR="00595928">
        <w:t>conjuntura</w:t>
      </w:r>
      <w:r>
        <w:t xml:space="preserve"> de violência que envolve os conflitos por terra no Brasil</w:t>
      </w:r>
      <w:r w:rsidR="00595928">
        <w:t>;</w:t>
      </w:r>
    </w:p>
    <w:p w14:paraId="4593475C" w14:textId="77777777" w:rsidR="008C12EA" w:rsidRDefault="008C12EA" w:rsidP="008C12EA">
      <w:pPr>
        <w:spacing w:line="360" w:lineRule="auto"/>
        <w:jc w:val="both"/>
      </w:pPr>
      <w:r>
        <w:t>III)</w:t>
      </w:r>
      <w:r>
        <w:tab/>
        <w:t>inexistência de apuração das mortes do acusado J.P.N e da testemunha ocular Luzia Batista da Silva, durante a etapa da decisão de pronúncia e do exame do caso pelo Tribunal do Juri;</w:t>
      </w:r>
    </w:p>
    <w:p w14:paraId="3E255EFA" w14:textId="77777777" w:rsidR="008C12EA" w:rsidRDefault="008C12EA" w:rsidP="008C12EA">
      <w:pPr>
        <w:spacing w:line="360" w:lineRule="auto"/>
        <w:jc w:val="both"/>
      </w:pPr>
      <w:r>
        <w:t>IV)</w:t>
      </w:r>
      <w:r>
        <w:tab/>
        <w:t>retirada de C.O.S da condição de acusado por falta de provas em virtude da omissão de atos investigativos necessários;</w:t>
      </w:r>
    </w:p>
    <w:p w14:paraId="3AB96C65" w14:textId="3D91F2C7" w:rsidR="008C12EA" w:rsidRDefault="008C12EA" w:rsidP="008C12EA">
      <w:pPr>
        <w:spacing w:line="360" w:lineRule="auto"/>
        <w:jc w:val="both"/>
      </w:pPr>
      <w:r>
        <w:t>V)</w:t>
      </w:r>
      <w:r>
        <w:tab/>
      </w:r>
      <w:r w:rsidR="00595928">
        <w:t>i</w:t>
      </w:r>
      <w:r>
        <w:t>nsuficiência das medidas para assegurar o comparecimento de M.C.N aos atos processuais que demandavam sua presença, além da inexistência de diligências para sua apreensão após terem sido decretadas ordens de prisão contra ele;</w:t>
      </w:r>
    </w:p>
    <w:p w14:paraId="50F7A63C" w14:textId="25FC2FB2" w:rsidR="0076578D" w:rsidRDefault="008C12EA" w:rsidP="008C12EA">
      <w:pPr>
        <w:spacing w:line="360" w:lineRule="auto"/>
        <w:jc w:val="both"/>
      </w:pPr>
      <w:r>
        <w:t>VI)</w:t>
      </w:r>
      <w:r>
        <w:tab/>
        <w:t>remessa do processo para juízo incompetente, qual seja, a Vara Agrária, quando a competência era do Tribunal do Juri.</w:t>
      </w:r>
    </w:p>
    <w:p w14:paraId="2608EC1F" w14:textId="328DF8CC" w:rsidR="008C12EA" w:rsidRPr="00595928" w:rsidRDefault="008C12EA" w:rsidP="0076578D">
      <w:pPr>
        <w:spacing w:line="360" w:lineRule="auto"/>
        <w:ind w:firstLine="708"/>
        <w:jc w:val="both"/>
        <w:rPr>
          <w:color w:val="FF0000"/>
        </w:rPr>
      </w:pPr>
      <w:r>
        <w:t>A corte fixou parâmetros para</w:t>
      </w:r>
      <w:r w:rsidR="00595928">
        <w:t xml:space="preserve"> que</w:t>
      </w:r>
      <w:r>
        <w:t xml:space="preserve">, </w:t>
      </w:r>
      <w:r w:rsidR="00EE4F07">
        <w:t xml:space="preserve">na </w:t>
      </w:r>
      <w:r>
        <w:t>ocorr</w:t>
      </w:r>
      <w:r w:rsidR="00EE4F07">
        <w:t>ência</w:t>
      </w:r>
      <w:r>
        <w:t xml:space="preserve"> </w:t>
      </w:r>
      <w:r w:rsidR="00EE4F07">
        <w:t>d</w:t>
      </w:r>
      <w:r>
        <w:t>a perda de vidas, os Estados identifiquem, investiguem efetivamente e punam os responsáveis</w:t>
      </w:r>
      <w:r w:rsidR="00B163CE">
        <w:t xml:space="preserve">, </w:t>
      </w:r>
      <w:r>
        <w:t xml:space="preserve">para que não se repita o tipo de fato </w:t>
      </w:r>
      <w:r w:rsidR="00B163CE">
        <w:t xml:space="preserve">acontecido </w:t>
      </w:r>
      <w:r>
        <w:t xml:space="preserve">no caso julgado. </w:t>
      </w:r>
    </w:p>
    <w:p w14:paraId="0C0B1998" w14:textId="26EDF271" w:rsidR="008C12EA" w:rsidRDefault="008C12EA" w:rsidP="008C12EA">
      <w:pPr>
        <w:spacing w:line="360" w:lineRule="auto"/>
        <w:jc w:val="both"/>
      </w:pPr>
      <w:r>
        <w:tab/>
      </w:r>
      <w:r w:rsidR="00A84C38">
        <w:t>Nesse sentido</w:t>
      </w:r>
      <w:r>
        <w:t xml:space="preserve">, </w:t>
      </w:r>
      <w:r w:rsidR="00A84C38">
        <w:t xml:space="preserve">foi assentado </w:t>
      </w:r>
      <w:r>
        <w:t>que a persecução penal deve ser feita com efetividade na busca pela verdade, com a aplicação de punição aos autores dos crimes. Em específico, no caso de crime contra um defensor de direitos humanos</w:t>
      </w:r>
      <w:r w:rsidR="0079359F">
        <w:t xml:space="preserve"> (</w:t>
      </w:r>
      <w:r>
        <w:t xml:space="preserve">com indícios de ter como </w:t>
      </w:r>
      <w:r w:rsidR="0079359F">
        <w:t xml:space="preserve">motivação </w:t>
      </w:r>
      <w:r>
        <w:t xml:space="preserve">as atividades de defesa e promoção </w:t>
      </w:r>
      <w:r w:rsidR="00595928">
        <w:t>dos direitos fundamentais</w:t>
      </w:r>
      <w:r w:rsidR="0079359F">
        <w:t xml:space="preserve">) </w:t>
      </w:r>
      <w:r>
        <w:t xml:space="preserve">é necessário especial atenção ao contexto dos fatos e </w:t>
      </w:r>
      <w:r w:rsidR="00595928">
        <w:t>d</w:t>
      </w:r>
      <w:r>
        <w:t xml:space="preserve">as atividades </w:t>
      </w:r>
      <w:r>
        <w:lastRenderedPageBreak/>
        <w:t>desenvolvidas pela vítima</w:t>
      </w:r>
      <w:r w:rsidR="00595928">
        <w:t>,</w:t>
      </w:r>
      <w:r>
        <w:t xml:space="preserve"> para identificar quais interesses essas ações podem ter afetado.</w:t>
      </w:r>
    </w:p>
    <w:p w14:paraId="06D70269" w14:textId="1FB2A557" w:rsidR="008C12EA" w:rsidRDefault="008C12EA" w:rsidP="008C12EA">
      <w:pPr>
        <w:spacing w:line="360" w:lineRule="auto"/>
        <w:jc w:val="both"/>
      </w:pPr>
      <w:r>
        <w:tab/>
        <w:t>Assim, deve ser assegurada especial proteção aos defensores de direitos humanos através da adoção de medidas como a documentação da atividade d</w:t>
      </w:r>
      <w:r w:rsidR="00F25B90">
        <w:t>o defensor</w:t>
      </w:r>
      <w:r>
        <w:t>, o seu papel na comunidade e em seu entorno e a região onde realizava o seu trabalho. É importante perceber que a impunidade tem um</w:t>
      </w:r>
      <w:r w:rsidR="0076578D">
        <w:t xml:space="preserve">a força </w:t>
      </w:r>
      <w:r>
        <w:t>amedrontador</w:t>
      </w:r>
      <w:r w:rsidR="0076578D">
        <w:t>a</w:t>
      </w:r>
      <w:r>
        <w:t xml:space="preserve"> diante da comunidade, gerando assim um efeito coletivo deletério.</w:t>
      </w:r>
    </w:p>
    <w:p w14:paraId="4D9C3050" w14:textId="0F07A8CE" w:rsidR="008C12EA" w:rsidRDefault="008C12EA" w:rsidP="008C12EA">
      <w:pPr>
        <w:spacing w:line="360" w:lineRule="auto"/>
        <w:jc w:val="both"/>
      </w:pPr>
      <w:r>
        <w:tab/>
        <w:t xml:space="preserve">A aferição da razoabilidade do prazo para a conclusão dos casos de violência deve considerar elementos como a atividade processual do interessado, a conduta das autoridades judiciais e </w:t>
      </w:r>
      <w:r w:rsidR="00F25B90">
        <w:t xml:space="preserve">o </w:t>
      </w:r>
      <w:r>
        <w:t>impacto causado na situação jurídica da vítima. A</w:t>
      </w:r>
      <w:r w:rsidR="00B163CE">
        <w:t>lém disso, a</w:t>
      </w:r>
      <w:r>
        <w:t xml:space="preserve"> busca pela elucidação de crimes </w:t>
      </w:r>
      <w:r w:rsidR="00F25B90">
        <w:t xml:space="preserve">deve ter em conta </w:t>
      </w:r>
      <w:r>
        <w:t>o direito dos familiares das vítimas em conhecer a verdade.</w:t>
      </w:r>
    </w:p>
    <w:p w14:paraId="31196874" w14:textId="21CB96B9" w:rsidR="008C12EA" w:rsidRDefault="00B163CE" w:rsidP="008C12EA">
      <w:pPr>
        <w:spacing w:line="360" w:lineRule="auto"/>
        <w:jc w:val="both"/>
      </w:pPr>
      <w:r>
        <w:t xml:space="preserve"> </w:t>
      </w:r>
      <w:r>
        <w:tab/>
      </w:r>
      <w:r w:rsidR="008C12EA">
        <w:t xml:space="preserve">Com propósito reparatório, foram determinadas </w:t>
      </w:r>
      <w:r w:rsidR="00D22B97">
        <w:t xml:space="preserve">as seguintes </w:t>
      </w:r>
      <w:r w:rsidR="008C12EA">
        <w:t>ordens ao Estado brasileiro:</w:t>
      </w:r>
    </w:p>
    <w:p w14:paraId="36C90494" w14:textId="77777777" w:rsidR="008C12EA" w:rsidRDefault="008C12EA" w:rsidP="008C12EA">
      <w:pPr>
        <w:spacing w:line="360" w:lineRule="auto"/>
        <w:jc w:val="both"/>
      </w:pPr>
      <w:r>
        <w:t>1)</w:t>
      </w:r>
      <w:r>
        <w:tab/>
        <w:t>Criação de grupo de trabalho com a meta de mapear as causas geradoras da impunidade ocorrida no caso, além de estabelecer linha de ação para solucionar a questão;</w:t>
      </w:r>
    </w:p>
    <w:p w14:paraId="58C184D2" w14:textId="77777777" w:rsidR="008C12EA" w:rsidRDefault="008C12EA" w:rsidP="008C12EA">
      <w:pPr>
        <w:spacing w:line="360" w:lineRule="auto"/>
        <w:jc w:val="both"/>
      </w:pPr>
      <w:r>
        <w:t>2)</w:t>
      </w:r>
      <w:r>
        <w:tab/>
        <w:t>Adoção de providências relativas ao tratamento psicológico aos familiares da vítima;</w:t>
      </w:r>
    </w:p>
    <w:p w14:paraId="13114B14" w14:textId="51C21782" w:rsidR="008C12EA" w:rsidRDefault="008C12EA" w:rsidP="008C12EA">
      <w:pPr>
        <w:spacing w:line="360" w:lineRule="auto"/>
        <w:jc w:val="both"/>
      </w:pPr>
      <w:r>
        <w:t>3)</w:t>
      </w:r>
      <w:r>
        <w:tab/>
      </w:r>
      <w:r w:rsidR="00595928">
        <w:t>P</w:t>
      </w:r>
      <w:r>
        <w:t>ublicação da sentença, nomeação de uma praça em homenagem à vítima Gabriel Sales Pimenta e um ato de reconhecimento de responsabilidade internacional a ser difundido em rede de televisão aberta de alcance nacional e em redes social de órgãos públicos do Estado do Pará, mediante a realização de uma cerimônia pública com a presença das vítimas declaradas na decisão e de altos funcionários do Estado do Pará e do Governo Federal;</w:t>
      </w:r>
    </w:p>
    <w:p w14:paraId="1979E921" w14:textId="78BDE749" w:rsidR="008C12EA" w:rsidRDefault="008C12EA" w:rsidP="008C12EA">
      <w:pPr>
        <w:spacing w:line="360" w:lineRule="auto"/>
        <w:jc w:val="both"/>
      </w:pPr>
      <w:r>
        <w:t>4)</w:t>
      </w:r>
      <w:r>
        <w:tab/>
      </w:r>
      <w:r w:rsidR="00A95E4B">
        <w:t>E</w:t>
      </w:r>
      <w:r>
        <w:t xml:space="preserve">laboração de protocolo nacional </w:t>
      </w:r>
      <w:r w:rsidR="00A95E4B">
        <w:t>contemplando o dever de</w:t>
      </w:r>
      <w:r>
        <w:t xml:space="preserve"> diligência para a investigação dos delitos contra as pessoas defensoras de direitos humanos, de política pública nacional para a proteção de pessoas defensoras de direitos humanos </w:t>
      </w:r>
      <w:r>
        <w:lastRenderedPageBreak/>
        <w:t>e de mecanismo para reabertura de processos judiciais em razão de sentenças da Corte Interamericana, bem como a coleta de dados e elaboração de estatísticas;</w:t>
      </w:r>
    </w:p>
    <w:p w14:paraId="74F14691" w14:textId="77777777" w:rsidR="008C12EA" w:rsidRDefault="008C12EA" w:rsidP="008C12EA">
      <w:pPr>
        <w:spacing w:line="360" w:lineRule="auto"/>
        <w:jc w:val="both"/>
      </w:pPr>
      <w:r>
        <w:t>5)</w:t>
      </w:r>
      <w:r>
        <w:tab/>
        <w:t>estabelecimento de expediente que permita a reabertura de investigações e processos judiciais para funcionar nos casos em que tenha até mesmo a prescrição;</w:t>
      </w:r>
    </w:p>
    <w:p w14:paraId="672D0FA0" w14:textId="5C5E39B4" w:rsidR="008C12EA" w:rsidRDefault="008C12EA" w:rsidP="008C12EA">
      <w:pPr>
        <w:spacing w:line="360" w:lineRule="auto"/>
        <w:jc w:val="both"/>
      </w:pPr>
      <w:r>
        <w:t>6)</w:t>
      </w:r>
      <w:r>
        <w:tab/>
        <w:t>imposição de indenizações para a mãe da vítima, bem como para os irmãos, a título de danos materiais e morais.</w:t>
      </w:r>
    </w:p>
    <w:p w14:paraId="25D895B8" w14:textId="00F479D5" w:rsidR="00A95E4B" w:rsidRDefault="00A95E4B" w:rsidP="008C12EA">
      <w:pPr>
        <w:spacing w:line="360" w:lineRule="auto"/>
        <w:jc w:val="both"/>
      </w:pPr>
    </w:p>
    <w:p w14:paraId="3DF28685" w14:textId="77777777" w:rsidR="00A95E4B" w:rsidRDefault="00A95E4B" w:rsidP="008C12EA">
      <w:pPr>
        <w:spacing w:line="360" w:lineRule="auto"/>
        <w:jc w:val="both"/>
      </w:pPr>
    </w:p>
    <w:p w14:paraId="46BD5D25" w14:textId="77777777" w:rsidR="008C12EA" w:rsidRDefault="008C12EA" w:rsidP="008C12EA">
      <w:pPr>
        <w:spacing w:line="360" w:lineRule="auto"/>
        <w:jc w:val="both"/>
      </w:pPr>
    </w:p>
    <w:p w14:paraId="69AB1D1F" w14:textId="77777777" w:rsidR="008C12EA" w:rsidRDefault="008C12EA" w:rsidP="008C12EA">
      <w:pPr>
        <w:spacing w:line="360" w:lineRule="auto"/>
        <w:jc w:val="both"/>
      </w:pPr>
      <w:r>
        <w:t xml:space="preserve"> </w:t>
      </w:r>
      <w:r>
        <w:tab/>
      </w:r>
    </w:p>
    <w:p w14:paraId="64890F71" w14:textId="77777777" w:rsidR="008C12EA" w:rsidRDefault="008C12EA" w:rsidP="008C12EA">
      <w:pPr>
        <w:spacing w:line="360" w:lineRule="auto"/>
        <w:jc w:val="both"/>
      </w:pPr>
    </w:p>
    <w:p w14:paraId="79225271" w14:textId="77777777" w:rsidR="008C12EA" w:rsidRDefault="008C12EA" w:rsidP="008C12EA">
      <w:pPr>
        <w:spacing w:line="360" w:lineRule="auto"/>
        <w:jc w:val="both"/>
      </w:pPr>
    </w:p>
    <w:p w14:paraId="01F940CE" w14:textId="77777777" w:rsidR="00B44944" w:rsidRDefault="00B44944" w:rsidP="00B44944">
      <w:pPr>
        <w:spacing w:line="360" w:lineRule="auto"/>
        <w:jc w:val="both"/>
      </w:pPr>
    </w:p>
    <w:p w14:paraId="56DDC9F3" w14:textId="77777777" w:rsidR="008C12EA" w:rsidRPr="00C05EEF" w:rsidRDefault="008C12EA" w:rsidP="008C12EA">
      <w:pPr>
        <w:spacing w:line="360" w:lineRule="auto"/>
        <w:jc w:val="both"/>
      </w:pPr>
    </w:p>
    <w:sectPr w:rsidR="008C12EA" w:rsidRPr="00C05E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EF"/>
    <w:rsid w:val="005222A5"/>
    <w:rsid w:val="00595928"/>
    <w:rsid w:val="00620129"/>
    <w:rsid w:val="00671672"/>
    <w:rsid w:val="0076578D"/>
    <w:rsid w:val="0079359F"/>
    <w:rsid w:val="007A21ED"/>
    <w:rsid w:val="008C12EA"/>
    <w:rsid w:val="009509FB"/>
    <w:rsid w:val="00A84C38"/>
    <w:rsid w:val="00A95E4B"/>
    <w:rsid w:val="00B163CE"/>
    <w:rsid w:val="00B44944"/>
    <w:rsid w:val="00C05EEF"/>
    <w:rsid w:val="00D22B97"/>
    <w:rsid w:val="00DC608B"/>
    <w:rsid w:val="00EE4F07"/>
    <w:rsid w:val="00F25B90"/>
    <w:rsid w:val="00F364DF"/>
    <w:rsid w:val="00FE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9919"/>
  <w15:chartTrackingRefBased/>
  <w15:docId w15:val="{8F52FF90-715E-4392-810F-5B47A805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Theme="minorHAnsi" w:hAnsi="Candara" w:cstheme="minorHAnsi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Juíza Flávia de Almeida Viveiros de Castro</dc:creator>
  <cp:keywords/>
  <dc:description/>
  <cp:lastModifiedBy>Juíza Flávia de Almeida Viveiros de Castro</cp:lastModifiedBy>
  <cp:revision>2</cp:revision>
  <dcterms:created xsi:type="dcterms:W3CDTF">2023-08-04T13:52:00Z</dcterms:created>
  <dcterms:modified xsi:type="dcterms:W3CDTF">2023-08-04T13:52:00Z</dcterms:modified>
</cp:coreProperties>
</file>